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CE4D6C" Type="http://schemas.openxmlformats.org/officeDocument/2006/relationships/officeDocument" Target="/word/document.xml" /><Relationship Id="coreR1FCE4D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FAALİYET KONULARI </w:t>
            </w:r>
          </w:p>
        </w:tc>
      </w:tr>
      <w:tr>
        <w:tblPrEx>
          <w:tblW w:w="0" w:type="auto"/>
          <w:tblLook w:val="04A0"/>
        </w:tblPrEx>
        <w:trPr>
          <w:trHeight w:hRule="atLeast" w:val="1185"/>
        </w:trPr>
        <w:tc>
          <w:tcPr>
            <w:tcW w:w="9287" w:type="dxa"/>
          </w:tcPr>
          <w:p>
            <w:r>
              <w:t>Teknik Hizmetler, bütün kütüphane materyalinin seçiminden okuyucuya sunulacak duruma getirilinceye kadar yapılan işlerin tamamıdır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GÖREVLERİ</w:t>
            </w:r>
          </w:p>
        </w:tc>
      </w:tr>
      <w:tr>
        <w:tblPrEx>
          <w:tblW w:w="0" w:type="auto"/>
          <w:tblLook w:val="04A0"/>
        </w:tblPrEx>
        <w:trPr>
          <w:trHeight w:hRule="atLeast" w:val="1410"/>
        </w:trPr>
        <w:tc>
          <w:tcPr>
            <w:tcW w:w="9287" w:type="dxa"/>
            <w:shd w:val="clear" w:color="auto" w:fill="FFFFFF"/>
          </w:tcPr>
          <w:p>
            <w:pPr>
              <w:spacing w:lineRule="auto" w:line="240" w:beforeAutospacing="0" w:afterAutospacing="0"/>
            </w:pPr>
            <w:r>
              <w:t>-Koleksiyonu geliştirme politikası çerçevesinde her türlü materyali seçmek, satın almak ve bağış veya değişim yolu ile sağlamak,</w:t>
              <w:br w:type="textWrapping"/>
              <w:t>-Sağlanan kütüphane materyalinin çağdaş bilimsel yöntemler uyarınca kataloglamak, sınıflandırmak, etiketleme vb. İşleri yapmak ve kütüphane otomasyon programına kaydetmek,kullanıcıların yararlanmasına hazır hale getirmek,</w:t>
            </w:r>
          </w:p>
          <w:p>
            <w:pPr>
              <w:spacing w:lineRule="auto" w:line="240" w:beforeAutospacing="0" w:afterAutospacing="0"/>
            </w:pPr>
            <w:r>
              <w:t>- Üniversite eğitim-öğretimini destekleyecek, araştırmalarda yardımcı olacak süreli yayın koleksiyonunu oluşturmak ve geliştirmek üzere bunları seçerek, satın alma, bağış ve değişim yoluyla temin eden ve belli bir düzen içinde kullanıma sunulmasını sağlamak</w:t>
            </w:r>
          </w:p>
          <w:p>
            <w:pPr>
              <w:spacing w:lineRule="auto" w:line="240" w:beforeAutospacing="0" w:afterAutospacing="0"/>
            </w:pPr>
            <w:r>
              <w:t>-Teknik Hizmetler Bölümü ayrıca koleksiyonun güncel tutulması amacıyla periyodik olarak (en az yılda bir kez) ayıklamasının yapılması, yıpranmış materyalin onarımı ve süreli yayınların cilde gönderilmesi hizmetlerinden sorumludur.</w:t>
            </w:r>
          </w:p>
          <w:p/>
        </w:tc>
      </w:tr>
    </w:tbl>
    <w:p>
      <w:pPr>
        <w:rPr>
          <w:rFonts w:ascii="Arial" w:hAnsi="Arial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Layout w:type="fixed"/>
      <w:tblLook w:val="04A0"/>
    </w:tblPr>
    <w:tblGrid/>
    <w:tr>
      <w:tblPrEx>
        <w:tblW w:w="91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Ex>
      <w:trPr>
        <w:trHeight w:hRule="atLeast" w:val="447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 ADI</w:t>
          </w:r>
        </w:p>
      </w:tc>
      <w:tc>
        <w:tcPr>
          <w:tcW w:w="6804" w:type="dxa"/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 xml:space="preserve">KÜTÜPHANE VE DOKÜMANTASYON DAİRE BAŞKANLIĞI TEKNİK HİZMETLER 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203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BAĞLI OLDUĞU BİRİM</w:t>
          </w:r>
        </w:p>
      </w:tc>
      <w:tc>
        <w:tcPr>
          <w:tcW w:w="6804" w:type="dxa"/>
          <w:vAlign w:val="center"/>
        </w:tcPr>
        <w:p>
          <w:r>
            <w:t>KÜTÜPHANE VE DOKÜMANTASYON DAİRE BAŞKANLIĞI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2016-08-11T07:55:02Z</dcterms:created>
  <cp:lastModifiedBy>NT AUTHORITY\SYSTEM</cp:lastModifiedBy>
  <dcterms:modified xsi:type="dcterms:W3CDTF">2017-07-10T09:08:24Z</dcterms:modified>
  <cp:revision>17</cp:revision>
</cp:coreProperties>
</file>